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C3D9" w14:textId="77777777" w:rsidR="001618DD" w:rsidRDefault="003C6521" w:rsidP="001618DD">
      <w:pPr>
        <w:pStyle w:val="Naslov1"/>
      </w:pPr>
      <w:proofErr w:type="spellStart"/>
      <w:r>
        <w:t>P</w:t>
      </w:r>
      <w:r w:rsidR="001618DD">
        <w:t>r</w:t>
      </w:r>
      <w:r>
        <w:t>epakiranje</w:t>
      </w:r>
      <w:proofErr w:type="spellEnd"/>
      <w:r>
        <w:t xml:space="preserve"> testov </w:t>
      </w:r>
      <w:r w:rsidR="001618DD">
        <w:t xml:space="preserve">SARS-Cov-2 Antigen </w:t>
      </w:r>
      <w:proofErr w:type="spellStart"/>
      <w:r w:rsidR="001618DD">
        <w:t>Rapid</w:t>
      </w:r>
      <w:proofErr w:type="spellEnd"/>
      <w:r w:rsidR="001618DD">
        <w:t xml:space="preserve"> Test Kit (</w:t>
      </w:r>
      <w:proofErr w:type="spellStart"/>
      <w:r w:rsidR="001618DD">
        <w:t>Colloidal</w:t>
      </w:r>
      <w:proofErr w:type="spellEnd"/>
      <w:r w:rsidR="001618DD">
        <w:t xml:space="preserve"> </w:t>
      </w:r>
      <w:proofErr w:type="spellStart"/>
      <w:r w:rsidR="001618DD">
        <w:t>Gold</w:t>
      </w:r>
      <w:proofErr w:type="spellEnd"/>
      <w:r w:rsidR="001618DD">
        <w:t>).</w:t>
      </w:r>
    </w:p>
    <w:p w14:paraId="697E7280" w14:textId="5B20A576" w:rsidR="001618DD" w:rsidRDefault="001618DD"/>
    <w:p w14:paraId="0E788BEB" w14:textId="3E869D3F" w:rsidR="001618DD" w:rsidRDefault="001618DD">
      <w:r>
        <w:t>Odločba JAZMP 314-3/2021-15 z dne 14.5.2021 med drugim določa, da predlagatelj (torej NIJZ) zagotovi, da je predpakiranje izvedeno na način, da ne vpliva na skladnost pripomočka. Hkrati mora NIJZ poskrbeti, da je vsako manjše pakiranje ustrezno označeno in vsebuje vse potrebne komponente.</w:t>
      </w:r>
      <w:r w:rsidR="00C432BA">
        <w:t xml:space="preserve"> </w:t>
      </w:r>
    </w:p>
    <w:p w14:paraId="0C3F1F60" w14:textId="47D7E9EE" w:rsidR="004B6264" w:rsidRDefault="00EB658D" w:rsidP="00EB658D">
      <w:r>
        <w:t>Minimalne zahteve</w:t>
      </w:r>
      <w:r w:rsidR="00960795">
        <w:t xml:space="preserve"> za </w:t>
      </w:r>
      <w:proofErr w:type="spellStart"/>
      <w:r w:rsidR="00960795">
        <w:t>prepakiranje</w:t>
      </w:r>
      <w:proofErr w:type="spellEnd"/>
      <w:r>
        <w:t>, ki izhajajo iz odločbe JAZMP so naslednje:</w:t>
      </w:r>
      <w:r w:rsidR="001618DD">
        <w:t xml:space="preserve"> </w:t>
      </w:r>
    </w:p>
    <w:p w14:paraId="69086215" w14:textId="6478CF73" w:rsidR="000F2466" w:rsidRDefault="00EB658D" w:rsidP="000F2466">
      <w:pPr>
        <w:pStyle w:val="Odstavekseznama"/>
        <w:numPr>
          <w:ilvl w:val="0"/>
          <w:numId w:val="2"/>
        </w:numPr>
        <w:ind w:left="360"/>
      </w:pPr>
      <w:r>
        <w:t xml:space="preserve">V eno </w:t>
      </w:r>
      <w:r w:rsidRPr="00A50E59">
        <w:rPr>
          <w:b/>
          <w:bCs/>
        </w:rPr>
        <w:t>enoto pakiranja</w:t>
      </w:r>
      <w:r>
        <w:t>, se lahko vključi en ali več kompletov za testiranje</w:t>
      </w:r>
      <w:r w:rsidR="00645FBC">
        <w:t xml:space="preserve"> (</w:t>
      </w:r>
      <w:r w:rsidR="00365998">
        <w:t xml:space="preserve">praviloma </w:t>
      </w:r>
      <w:r w:rsidR="00645FBC">
        <w:t>po 5 kom)</w:t>
      </w:r>
      <w:r>
        <w:t>.</w:t>
      </w:r>
    </w:p>
    <w:p w14:paraId="471C7B05" w14:textId="77777777" w:rsidR="00A50E59" w:rsidRDefault="00A50E59" w:rsidP="00A50E59">
      <w:pPr>
        <w:pStyle w:val="Odstavekseznama"/>
        <w:ind w:left="360"/>
      </w:pPr>
    </w:p>
    <w:p w14:paraId="265B0DB3" w14:textId="7528290E" w:rsidR="000F2466" w:rsidRDefault="000F2466" w:rsidP="000F2466">
      <w:pPr>
        <w:pStyle w:val="Odstavekseznama"/>
        <w:numPr>
          <w:ilvl w:val="0"/>
          <w:numId w:val="2"/>
        </w:numPr>
        <w:ind w:left="360"/>
      </w:pPr>
      <w:r w:rsidRPr="000F2466">
        <w:rPr>
          <w:noProof/>
          <w:lang w:eastAsia="sl-SI"/>
        </w:rPr>
        <w:drawing>
          <wp:anchor distT="0" distB="0" distL="114300" distR="114300" simplePos="0" relativeHeight="251658240" behindDoc="1" locked="0" layoutInCell="1" allowOverlap="1" wp14:anchorId="104C01B0" wp14:editId="558EBF40">
            <wp:simplePos x="0" y="0"/>
            <wp:positionH relativeFrom="column">
              <wp:posOffset>2865755</wp:posOffset>
            </wp:positionH>
            <wp:positionV relativeFrom="paragraph">
              <wp:posOffset>6985</wp:posOffset>
            </wp:positionV>
            <wp:extent cx="3277235" cy="1530350"/>
            <wp:effectExtent l="0" t="0" r="0" b="0"/>
            <wp:wrapTight wrapText="bothSides">
              <wp:wrapPolygon edited="0">
                <wp:start x="0" y="0"/>
                <wp:lineTo x="0" y="21241"/>
                <wp:lineTo x="21470" y="21241"/>
                <wp:lineTo x="2147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77235" cy="1530350"/>
                    </a:xfrm>
                    <a:prstGeom prst="rect">
                      <a:avLst/>
                    </a:prstGeom>
                  </pic:spPr>
                </pic:pic>
              </a:graphicData>
            </a:graphic>
          </wp:anchor>
        </w:drawing>
      </w:r>
      <w:r>
        <w:t xml:space="preserve">En </w:t>
      </w:r>
      <w:r w:rsidRPr="00A50E59">
        <w:rPr>
          <w:b/>
          <w:bCs/>
        </w:rPr>
        <w:t>komplet za testiranje</w:t>
      </w:r>
      <w:r>
        <w:t xml:space="preserve"> vsebuje:</w:t>
      </w:r>
    </w:p>
    <w:p w14:paraId="0B11899A" w14:textId="2320D07C" w:rsidR="000F2466" w:rsidRDefault="000F2466" w:rsidP="000F2466">
      <w:pPr>
        <w:pStyle w:val="Odstavekseznama"/>
        <w:numPr>
          <w:ilvl w:val="1"/>
          <w:numId w:val="2"/>
        </w:numPr>
        <w:ind w:left="1080"/>
      </w:pPr>
      <w:r>
        <w:t>Testno ploščico</w:t>
      </w:r>
    </w:p>
    <w:p w14:paraId="6E0BC5C8" w14:textId="754DC1B3" w:rsidR="000F2466" w:rsidRDefault="000F2466" w:rsidP="000F2466">
      <w:pPr>
        <w:pStyle w:val="Odstavekseznama"/>
        <w:numPr>
          <w:ilvl w:val="1"/>
          <w:numId w:val="2"/>
        </w:numPr>
        <w:ind w:left="1080"/>
      </w:pPr>
      <w:r>
        <w:t>Bris za enkratno uporabo</w:t>
      </w:r>
      <w:r w:rsidRPr="000F2466">
        <w:rPr>
          <w:noProof/>
        </w:rPr>
        <w:t xml:space="preserve"> </w:t>
      </w:r>
    </w:p>
    <w:p w14:paraId="3121780E" w14:textId="2A580BBD" w:rsidR="000F2466" w:rsidRDefault="000F2466" w:rsidP="000F2466">
      <w:pPr>
        <w:pStyle w:val="Odstavekseznama"/>
        <w:numPr>
          <w:ilvl w:val="1"/>
          <w:numId w:val="2"/>
        </w:numPr>
        <w:ind w:left="1080"/>
      </w:pPr>
      <w:r>
        <w:t>Plastenko z ekstrakcijskim pufrom</w:t>
      </w:r>
    </w:p>
    <w:p w14:paraId="0EC70C08" w14:textId="4A1C026D" w:rsidR="000F2466" w:rsidRDefault="000F2466" w:rsidP="000F2466">
      <w:pPr>
        <w:pStyle w:val="Odstavekseznama"/>
        <w:numPr>
          <w:ilvl w:val="1"/>
          <w:numId w:val="2"/>
        </w:numPr>
        <w:ind w:left="1080"/>
      </w:pPr>
      <w:r>
        <w:t>Epruveto in pokrovček za epruveto</w:t>
      </w:r>
    </w:p>
    <w:p w14:paraId="2F95F2F4" w14:textId="77777777" w:rsidR="000F2466" w:rsidRDefault="000F2466" w:rsidP="000F2466">
      <w:bookmarkStart w:id="0" w:name="_GoBack"/>
      <w:bookmarkEnd w:id="0"/>
    </w:p>
    <w:p w14:paraId="4C6D3E33" w14:textId="77777777" w:rsidR="000F2466" w:rsidRDefault="000F2466" w:rsidP="000F2466"/>
    <w:p w14:paraId="3CA89B8E" w14:textId="77777777" w:rsidR="00A50E59" w:rsidRDefault="00A50E59" w:rsidP="00645FBC">
      <w:pPr>
        <w:pStyle w:val="Odstavekseznama"/>
        <w:ind w:left="360"/>
      </w:pPr>
    </w:p>
    <w:p w14:paraId="4867A9B1" w14:textId="77777777" w:rsidR="00A50E59" w:rsidRDefault="00A50E59" w:rsidP="00645FBC">
      <w:pPr>
        <w:pStyle w:val="Odstavekseznama"/>
        <w:ind w:left="360"/>
      </w:pPr>
    </w:p>
    <w:p w14:paraId="566376B7" w14:textId="2B64784B" w:rsidR="00EB658D" w:rsidRDefault="00645FBC" w:rsidP="00645FBC">
      <w:pPr>
        <w:pStyle w:val="Odstavekseznama"/>
        <w:ind w:left="360"/>
      </w:pPr>
      <w:r>
        <w:t xml:space="preserve">1. </w:t>
      </w:r>
      <w:r w:rsidR="00EB658D">
        <w:t xml:space="preserve">Vsaka enota pakiranja mora biti na vidnem mestu označena z napisom: </w:t>
      </w:r>
      <w:r w:rsidR="00EB658D" w:rsidRPr="000F2466">
        <w:rPr>
          <w:b/>
          <w:bCs/>
        </w:rPr>
        <w:t xml:space="preserve">»Izredno odobreno za </w:t>
      </w:r>
      <w:proofErr w:type="spellStart"/>
      <w:r w:rsidR="00EB658D" w:rsidRPr="000F2466">
        <w:rPr>
          <w:b/>
          <w:bCs/>
        </w:rPr>
        <w:t>samotestiranje</w:t>
      </w:r>
      <w:proofErr w:type="spellEnd"/>
      <w:r w:rsidR="00EB658D" w:rsidRPr="000F2466">
        <w:rPr>
          <w:b/>
          <w:bCs/>
        </w:rPr>
        <w:t>, za izvajanje posebnega presejalnega programa.«</w:t>
      </w:r>
    </w:p>
    <w:p w14:paraId="265824C4" w14:textId="6767B0B5" w:rsidR="00FF2EB1" w:rsidRDefault="00EB658D" w:rsidP="000F2466">
      <w:pPr>
        <w:pStyle w:val="Odstavekseznama"/>
        <w:numPr>
          <w:ilvl w:val="1"/>
          <w:numId w:val="2"/>
        </w:numPr>
        <w:ind w:left="1080"/>
      </w:pPr>
      <w:r>
        <w:t xml:space="preserve">To </w:t>
      </w:r>
      <w:r w:rsidR="006C6D43">
        <w:t xml:space="preserve">se </w:t>
      </w:r>
      <w:r>
        <w:t>zagotovi</w:t>
      </w:r>
      <w:r w:rsidR="006C6D43">
        <w:t xml:space="preserve"> z namestitvijo</w:t>
      </w:r>
      <w:r w:rsidRPr="00EB658D">
        <w:rPr>
          <w:b/>
          <w:bCs/>
        </w:rPr>
        <w:t xml:space="preserve"> posebno nalepko </w:t>
      </w:r>
      <w:r>
        <w:t xml:space="preserve">na ovojnini. </w:t>
      </w:r>
    </w:p>
    <w:p w14:paraId="79611363" w14:textId="77777777" w:rsidR="00A50E59" w:rsidRDefault="00A50E59" w:rsidP="00A50E59">
      <w:pPr>
        <w:pStyle w:val="Odstavekseznama"/>
        <w:ind w:left="1080"/>
      </w:pPr>
    </w:p>
    <w:p w14:paraId="1792B220" w14:textId="6A5FD212" w:rsidR="00FF2EB1" w:rsidRDefault="00645FBC" w:rsidP="00645FBC">
      <w:pPr>
        <w:pStyle w:val="Odstavekseznama"/>
        <w:ind w:left="360"/>
      </w:pPr>
      <w:r>
        <w:t xml:space="preserve">2. V </w:t>
      </w:r>
      <w:r w:rsidR="00FF2EB1">
        <w:t>vsak</w:t>
      </w:r>
      <w:r>
        <w:t>o</w:t>
      </w:r>
      <w:r w:rsidR="00FF2EB1">
        <w:t xml:space="preserve"> enot</w:t>
      </w:r>
      <w:r>
        <w:t xml:space="preserve">o </w:t>
      </w:r>
      <w:r w:rsidR="00A50E59">
        <w:t xml:space="preserve">pakiranja </w:t>
      </w:r>
      <w:r>
        <w:t>se priloži dokumentacija</w:t>
      </w:r>
      <w:r w:rsidR="00365998">
        <w:t xml:space="preserve"> Navodilo za uporabo</w:t>
      </w:r>
      <w:r>
        <w:t>, ki v</w:t>
      </w:r>
      <w:r w:rsidR="00FF2EB1">
        <w:t>seb</w:t>
      </w:r>
      <w:r>
        <w:t>uje</w:t>
      </w:r>
      <w:r w:rsidR="00FF2EB1">
        <w:t>:</w:t>
      </w:r>
    </w:p>
    <w:p w14:paraId="26C8B633" w14:textId="77777777" w:rsidR="00FF2EB1" w:rsidRDefault="00FF2EB1" w:rsidP="000F2466">
      <w:pPr>
        <w:pStyle w:val="Odstavekseznama"/>
        <w:numPr>
          <w:ilvl w:val="1"/>
          <w:numId w:val="2"/>
        </w:numPr>
        <w:ind w:left="1080"/>
      </w:pPr>
      <w:r>
        <w:t>Ime/naziv testa, vključno z informacijami o serijski številki proizvodnje in rokom uporabnosti.</w:t>
      </w:r>
    </w:p>
    <w:p w14:paraId="1C0141AA" w14:textId="4E10C724" w:rsidR="00FF2EB1" w:rsidRDefault="00FF2EB1" w:rsidP="000F2466">
      <w:pPr>
        <w:pStyle w:val="Odstavekseznama"/>
        <w:numPr>
          <w:ilvl w:val="1"/>
          <w:numId w:val="2"/>
        </w:numPr>
        <w:ind w:left="1080"/>
      </w:pPr>
      <w:r>
        <w:t>Naziv in naslov proizvajalca</w:t>
      </w:r>
    </w:p>
    <w:p w14:paraId="63D7BACB" w14:textId="23A00C9E" w:rsidR="00FF2EB1" w:rsidRDefault="00FF2EB1" w:rsidP="000F2466">
      <w:pPr>
        <w:pStyle w:val="Odstavekseznama"/>
        <w:numPr>
          <w:ilvl w:val="1"/>
          <w:numId w:val="2"/>
        </w:numPr>
        <w:ind w:left="1080"/>
      </w:pPr>
      <w:r>
        <w:t>Naziv in naslov pooblaščenega predstavnika v EU</w:t>
      </w:r>
    </w:p>
    <w:p w14:paraId="0D39A634" w14:textId="59982177" w:rsidR="00960795" w:rsidRDefault="00FF2EB1" w:rsidP="00960795">
      <w:pPr>
        <w:pStyle w:val="Odstavekseznama"/>
        <w:numPr>
          <w:ilvl w:val="1"/>
          <w:numId w:val="2"/>
        </w:numPr>
        <w:ind w:left="1080"/>
      </w:pPr>
      <w:r>
        <w:t xml:space="preserve">Kontaktni podatki </w:t>
      </w:r>
      <w:r w:rsidR="00BB72B7">
        <w:t xml:space="preserve">predlagatelja </w:t>
      </w:r>
      <w:r>
        <w:t>NIJZ</w:t>
      </w:r>
    </w:p>
    <w:p w14:paraId="6028F27A" w14:textId="7423727F" w:rsidR="006650CF" w:rsidRDefault="006650CF" w:rsidP="006650CF">
      <w:pPr>
        <w:pStyle w:val="Odstavekseznama"/>
        <w:numPr>
          <w:ilvl w:val="1"/>
          <w:numId w:val="2"/>
        </w:numPr>
        <w:ind w:left="1080"/>
      </w:pPr>
      <w:r>
        <w:t>Navodila za uporabo</w:t>
      </w:r>
    </w:p>
    <w:p w14:paraId="4CCAFBB0" w14:textId="77777777" w:rsidR="00863015" w:rsidRDefault="00863015" w:rsidP="00960795"/>
    <w:sectPr w:rsidR="00863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6E8"/>
    <w:multiLevelType w:val="hybridMultilevel"/>
    <w:tmpl w:val="7C24D23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240A39BF"/>
    <w:multiLevelType w:val="hybridMultilevel"/>
    <w:tmpl w:val="0A84C5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21"/>
    <w:rsid w:val="00090AC8"/>
    <w:rsid w:val="000F2466"/>
    <w:rsid w:val="001618DD"/>
    <w:rsid w:val="00365998"/>
    <w:rsid w:val="003A1F3F"/>
    <w:rsid w:val="003C6521"/>
    <w:rsid w:val="004B6264"/>
    <w:rsid w:val="00645FBC"/>
    <w:rsid w:val="006650CF"/>
    <w:rsid w:val="006C6D43"/>
    <w:rsid w:val="00863015"/>
    <w:rsid w:val="00960795"/>
    <w:rsid w:val="00A50E59"/>
    <w:rsid w:val="00AB3422"/>
    <w:rsid w:val="00BB72B7"/>
    <w:rsid w:val="00C432BA"/>
    <w:rsid w:val="00EA0ECA"/>
    <w:rsid w:val="00EB658D"/>
    <w:rsid w:val="00FF2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2C29"/>
  <w15:docId w15:val="{59086F49-01DE-4DBE-AF0C-5A2749A4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6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C65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6521"/>
    <w:rPr>
      <w:rFonts w:ascii="Segoe UI" w:hAnsi="Segoe UI" w:cs="Segoe UI"/>
      <w:sz w:val="18"/>
      <w:szCs w:val="18"/>
    </w:rPr>
  </w:style>
  <w:style w:type="character" w:customStyle="1" w:styleId="Naslov1Znak">
    <w:name w:val="Naslov 1 Znak"/>
    <w:basedOn w:val="Privzetapisavaodstavka"/>
    <w:link w:val="Naslov1"/>
    <w:uiPriority w:val="9"/>
    <w:rsid w:val="001618DD"/>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1618DD"/>
    <w:pPr>
      <w:ind w:left="720"/>
      <w:contextualSpacing/>
    </w:pPr>
  </w:style>
  <w:style w:type="table" w:styleId="Tabelamrea">
    <w:name w:val="Table Grid"/>
    <w:basedOn w:val="Navadnatabela"/>
    <w:uiPriority w:val="39"/>
    <w:rsid w:val="0086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C85156-2C9A-49ED-B95F-EB381AD0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Vindišar</dc:creator>
  <cp:lastModifiedBy>Mojca</cp:lastModifiedBy>
  <cp:revision>2</cp:revision>
  <dcterms:created xsi:type="dcterms:W3CDTF">2021-05-24T08:28:00Z</dcterms:created>
  <dcterms:modified xsi:type="dcterms:W3CDTF">2021-05-24T08:28:00Z</dcterms:modified>
</cp:coreProperties>
</file>